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8478D" w14:textId="23616BB8" w:rsidR="000E2C46" w:rsidRDefault="00F67276" w:rsidP="004345AF">
      <w:pPr>
        <w:pStyle w:val="Heading2"/>
        <w:jc w:val="both"/>
      </w:pPr>
      <w:r>
        <w:t>W</w:t>
      </w:r>
      <w:r w:rsidR="00840866">
        <w:t>hat’s Out?</w:t>
      </w:r>
    </w:p>
    <w:p w14:paraId="19EC46A8" w14:textId="15581B48" w:rsidR="00937988" w:rsidRPr="00937988" w:rsidRDefault="00937988" w:rsidP="004345AF">
      <w:pPr>
        <w:jc w:val="both"/>
      </w:pPr>
      <w:proofErr w:type="spellStart"/>
      <w:r>
        <w:t>Utecture</w:t>
      </w:r>
      <w:proofErr w:type="spellEnd"/>
      <w:r w:rsidR="00015F0A">
        <w:t xml:space="preserve"> are providing this information based on the geometry of a 3D model</w:t>
      </w:r>
      <w:r w:rsidR="000E3F1A">
        <w:t xml:space="preserve"> so there are some areas out of scope. Additionally, </w:t>
      </w:r>
      <w:proofErr w:type="spellStart"/>
      <w:r w:rsidR="008C1ADF">
        <w:t>U</w:t>
      </w:r>
      <w:r w:rsidR="000E3F1A">
        <w:t>tecture’s</w:t>
      </w:r>
      <w:proofErr w:type="spellEnd"/>
      <w:r w:rsidR="000E3F1A">
        <w:t xml:space="preserve"> team of Quantity Surveyors and industry experts have configured</w:t>
      </w:r>
      <w:r w:rsidR="001D108A">
        <w:t xml:space="preserve"> materials, calculations and product selection in the model to cater for the majority of homes built in New Zealand. It won’t </w:t>
      </w:r>
      <w:r w:rsidR="00972165">
        <w:t>cover</w:t>
      </w:r>
      <w:r w:rsidR="001D108A">
        <w:t xml:space="preserve"> every</w:t>
      </w:r>
      <w:r w:rsidR="00FB5181">
        <w:t xml:space="preserve"> </w:t>
      </w:r>
      <w:r w:rsidR="0025685D">
        <w:t>product selection</w:t>
      </w:r>
      <w:r w:rsidR="00FB5181">
        <w:t xml:space="preserve"> for every </w:t>
      </w:r>
      <w:r w:rsidR="00BB4820">
        <w:t>build,</w:t>
      </w:r>
      <w:r w:rsidR="00FB5181">
        <w:t xml:space="preserve"> but we think we have the majority covered and will continue adding product and </w:t>
      </w:r>
      <w:r w:rsidR="0089418B">
        <w:t xml:space="preserve">suppliers to </w:t>
      </w:r>
      <w:proofErr w:type="spellStart"/>
      <w:r w:rsidR="000A5D96">
        <w:t>Utecture</w:t>
      </w:r>
      <w:proofErr w:type="spellEnd"/>
      <w:r w:rsidR="000A5D96">
        <w:t xml:space="preserve"> Trade</w:t>
      </w:r>
      <w:r w:rsidR="0025685D">
        <w:t>. With that in mind,</w:t>
      </w:r>
      <w:r w:rsidR="00B30A77">
        <w:t xml:space="preserve"> here’s what </w:t>
      </w:r>
      <w:r w:rsidR="00EF1080">
        <w:t>is out of scope</w:t>
      </w:r>
      <w:r w:rsidR="00B30A77">
        <w:t xml:space="preserve"> right now</w:t>
      </w:r>
    </w:p>
    <w:p w14:paraId="0023D838" w14:textId="4DA0BF4C" w:rsidR="00840866" w:rsidRDefault="00B30A77" w:rsidP="004345AF">
      <w:pPr>
        <w:pStyle w:val="ListParagraph"/>
        <w:numPr>
          <w:ilvl w:val="0"/>
          <w:numId w:val="16"/>
        </w:numPr>
        <w:jc w:val="both"/>
      </w:pPr>
      <w:r>
        <w:t>Site works, civils, P&amp;G</w:t>
      </w:r>
      <w:r w:rsidR="00A45DD6">
        <w:t xml:space="preserve"> – anything not in the house model</w:t>
      </w:r>
    </w:p>
    <w:p w14:paraId="6D11B40C" w14:textId="701B5A57" w:rsidR="008B7C50" w:rsidRDefault="008B7C50" w:rsidP="004345AF">
      <w:pPr>
        <w:pStyle w:val="ListParagraph"/>
        <w:numPr>
          <w:ilvl w:val="0"/>
          <w:numId w:val="16"/>
        </w:numPr>
        <w:jc w:val="both"/>
      </w:pPr>
      <w:r>
        <w:t>SED and bespoke detail – we model</w:t>
      </w:r>
      <w:r w:rsidR="00A2210A">
        <w:t xml:space="preserve"> core structures based on algorithms </w:t>
      </w:r>
      <w:r w:rsidR="00D00C35">
        <w:t xml:space="preserve">generally using NZS 3604 as a guide, </w:t>
      </w:r>
      <w:r w:rsidR="00A2210A">
        <w:t xml:space="preserve">so </w:t>
      </w:r>
      <w:r w:rsidR="005364BA">
        <w:t>more complex or subjective detail</w:t>
      </w:r>
      <w:r w:rsidR="00F3674B">
        <w:t>s</w:t>
      </w:r>
      <w:r w:rsidR="005364BA">
        <w:t xml:space="preserve"> </w:t>
      </w:r>
      <w:r w:rsidR="00D00C35">
        <w:t>are</w:t>
      </w:r>
      <w:r w:rsidR="005364BA">
        <w:t xml:space="preserve"> not captured in our model</w:t>
      </w:r>
      <w:r w:rsidR="00D00C35">
        <w:t xml:space="preserve">. </w:t>
      </w:r>
      <w:r w:rsidR="006B7B99">
        <w:t>Don’t worry, w</w:t>
      </w:r>
      <w:r w:rsidR="00B67B6E">
        <w:t xml:space="preserve">e will </w:t>
      </w:r>
      <w:r w:rsidR="00CF24FC">
        <w:t xml:space="preserve">detail this in notes within the </w:t>
      </w:r>
      <w:r w:rsidR="00BB4820">
        <w:t>report,</w:t>
      </w:r>
      <w:r w:rsidR="00CF24FC">
        <w:t xml:space="preserve"> so you’ll know exactly what has been allowed for and what</w:t>
      </w:r>
      <w:r w:rsidR="006B7B99">
        <w:t xml:space="preserve"> is tagged out.</w:t>
      </w:r>
    </w:p>
    <w:p w14:paraId="3C1A6467" w14:textId="39ABA674" w:rsidR="00596D14" w:rsidRDefault="00596D14" w:rsidP="004345AF">
      <w:pPr>
        <w:pStyle w:val="ListParagraph"/>
        <w:numPr>
          <w:ilvl w:val="0"/>
          <w:numId w:val="16"/>
        </w:numPr>
        <w:jc w:val="both"/>
      </w:pPr>
      <w:r>
        <w:t xml:space="preserve">Renovations </w:t>
      </w:r>
      <w:r w:rsidR="00AA037D">
        <w:t>– this is highly complex once demolition is accounted for</w:t>
      </w:r>
      <w:r w:rsidR="00B43ECE">
        <w:t xml:space="preserve"> and reserved for our licensed software customers.</w:t>
      </w:r>
    </w:p>
    <w:p w14:paraId="3BF5B45A" w14:textId="06A6A868" w:rsidR="00A060E4" w:rsidRDefault="00A060E4" w:rsidP="004345AF">
      <w:pPr>
        <w:pStyle w:val="ListParagraph"/>
        <w:numPr>
          <w:ilvl w:val="0"/>
          <w:numId w:val="16"/>
        </w:numPr>
        <w:jc w:val="both"/>
      </w:pPr>
      <w:r>
        <w:t xml:space="preserve">Landscaping </w:t>
      </w:r>
      <w:r w:rsidR="00730F8F">
        <w:t>–</w:t>
      </w:r>
      <w:r>
        <w:t xml:space="preserve"> </w:t>
      </w:r>
      <w:r w:rsidR="00730F8F">
        <w:t xml:space="preserve">these projects are </w:t>
      </w:r>
      <w:r w:rsidR="00A7711C">
        <w:t>covered</w:t>
      </w:r>
      <w:r w:rsidR="009F5023">
        <w:t xml:space="preserve"> with </w:t>
      </w:r>
      <w:proofErr w:type="spellStart"/>
      <w:r w:rsidR="009F5023">
        <w:t>utecture</w:t>
      </w:r>
      <w:proofErr w:type="spellEnd"/>
      <w:r w:rsidR="009F5023">
        <w:t xml:space="preserve"> Enterprise solutions</w:t>
      </w:r>
    </w:p>
    <w:p w14:paraId="3916A4D5" w14:textId="644A3A1A" w:rsidR="00CD4CDF" w:rsidRDefault="00CD4CDF" w:rsidP="004345AF">
      <w:pPr>
        <w:pStyle w:val="ListParagraph"/>
        <w:numPr>
          <w:ilvl w:val="0"/>
          <w:numId w:val="16"/>
        </w:numPr>
        <w:jc w:val="both"/>
      </w:pPr>
      <w:r>
        <w:t xml:space="preserve">Commercial builds, </w:t>
      </w:r>
      <w:r w:rsidR="00182755">
        <w:t xml:space="preserve">High-rise – </w:t>
      </w:r>
      <w:proofErr w:type="spellStart"/>
      <w:r w:rsidR="000A5D96">
        <w:t>Utecture</w:t>
      </w:r>
      <w:proofErr w:type="spellEnd"/>
      <w:r w:rsidR="000A5D96">
        <w:t xml:space="preserve"> Trade</w:t>
      </w:r>
      <w:r w:rsidR="002A3242">
        <w:t xml:space="preserve"> materials and calculation is</w:t>
      </w:r>
      <w:r w:rsidR="00182755">
        <w:t xml:space="preserve"> </w:t>
      </w:r>
      <w:r w:rsidR="00051EFB">
        <w:t>tuned</w:t>
      </w:r>
      <w:r w:rsidR="00182755">
        <w:t xml:space="preserve"> for Residential builds that fall within NZS3604</w:t>
      </w:r>
      <w:r w:rsidR="00051EFB">
        <w:t xml:space="preserve"> – up to three </w:t>
      </w:r>
      <w:r w:rsidR="00742ABD">
        <w:t>storeys</w:t>
      </w:r>
      <w:r w:rsidR="002A3242">
        <w:t>.</w:t>
      </w:r>
    </w:p>
    <w:p w14:paraId="2428941D" w14:textId="52A95754" w:rsidR="00D93924" w:rsidRDefault="005C4E68" w:rsidP="004345AF">
      <w:pPr>
        <w:pStyle w:val="Heading2"/>
        <w:jc w:val="both"/>
      </w:pPr>
      <w:r>
        <w:t>Service Intentions</w:t>
      </w:r>
      <w:r w:rsidR="004E1225">
        <w:t xml:space="preserve">, exclusions and </w:t>
      </w:r>
      <w:r w:rsidR="009461A2">
        <w:t>important notes</w:t>
      </w:r>
    </w:p>
    <w:p w14:paraId="19623FBA" w14:textId="4163A3DE" w:rsidR="005C4E68" w:rsidRDefault="000A5D96" w:rsidP="004345AF">
      <w:pPr>
        <w:pStyle w:val="ListParagraph"/>
        <w:numPr>
          <w:ilvl w:val="0"/>
          <w:numId w:val="17"/>
        </w:numPr>
        <w:jc w:val="both"/>
      </w:pPr>
      <w:proofErr w:type="spellStart"/>
      <w:r>
        <w:t>Utecture</w:t>
      </w:r>
      <w:proofErr w:type="spellEnd"/>
      <w:r>
        <w:t xml:space="preserve"> Trade</w:t>
      </w:r>
      <w:r w:rsidR="00D05E50">
        <w:t xml:space="preserve"> is a</w:t>
      </w:r>
      <w:r w:rsidR="000F78D4">
        <w:t xml:space="preserve"> </w:t>
      </w:r>
      <w:r w:rsidR="008D7571">
        <w:t>low-cost</w:t>
      </w:r>
      <w:r w:rsidR="000F78D4">
        <w:t xml:space="preserve"> pricing</w:t>
      </w:r>
      <w:r w:rsidR="00D05E50">
        <w:t xml:space="preserve"> tool to help Builders prepare preliminary pricing quickly and </w:t>
      </w:r>
      <w:r w:rsidR="00D566C2">
        <w:t>accurately.</w:t>
      </w:r>
    </w:p>
    <w:p w14:paraId="1E35BAA8" w14:textId="26925590" w:rsidR="00D566C2" w:rsidRDefault="00D566C2" w:rsidP="004345AF">
      <w:pPr>
        <w:pStyle w:val="ListParagraph"/>
        <w:numPr>
          <w:ilvl w:val="0"/>
          <w:numId w:val="17"/>
        </w:numPr>
        <w:jc w:val="both"/>
      </w:pPr>
      <w:r>
        <w:t xml:space="preserve">The turnaround time for a </w:t>
      </w:r>
      <w:proofErr w:type="spellStart"/>
      <w:r w:rsidR="000A5D96">
        <w:t>Utecture</w:t>
      </w:r>
      <w:proofErr w:type="spellEnd"/>
      <w:r w:rsidR="000A5D96">
        <w:t xml:space="preserve"> Trade</w:t>
      </w:r>
      <w:r>
        <w:t xml:space="preserve"> output is usually 1-2 days depending on volume</w:t>
      </w:r>
      <w:r w:rsidR="00D7459C">
        <w:t xml:space="preserve"> of jobs in the queue. </w:t>
      </w:r>
      <w:r w:rsidR="005A6B50">
        <w:t>That’s mighty quick for a cost indication report of this detail</w:t>
      </w:r>
      <w:r w:rsidR="008975E8">
        <w:t xml:space="preserve"> and will help you win more jobs </w:t>
      </w:r>
      <w:r w:rsidR="002B2AA0">
        <w:t>throu</w:t>
      </w:r>
      <w:r w:rsidR="00585988">
        <w:t>gh</w:t>
      </w:r>
      <w:r w:rsidR="00416AE0">
        <w:t xml:space="preserve"> prompt job estimate delivery to your customers.</w:t>
      </w:r>
    </w:p>
    <w:p w14:paraId="2C33E9B7" w14:textId="5B3E6A82" w:rsidR="00AF3F75" w:rsidRDefault="00977508" w:rsidP="004345AF">
      <w:pPr>
        <w:pStyle w:val="ListParagraph"/>
        <w:numPr>
          <w:ilvl w:val="0"/>
          <w:numId w:val="17"/>
        </w:numPr>
        <w:jc w:val="both"/>
      </w:pPr>
      <w:r>
        <w:t xml:space="preserve">Whilst </w:t>
      </w:r>
      <w:r w:rsidR="005B22B4">
        <w:t xml:space="preserve">the </w:t>
      </w:r>
      <w:proofErr w:type="spellStart"/>
      <w:r>
        <w:t>Utecture</w:t>
      </w:r>
      <w:proofErr w:type="spellEnd"/>
      <w:r>
        <w:t xml:space="preserve"> technology produces highly accurate </w:t>
      </w:r>
      <w:r w:rsidR="00F45CA7">
        <w:t>detailed measures t</w:t>
      </w:r>
      <w:r w:rsidR="00AF3F75">
        <w:t xml:space="preserve">he </w:t>
      </w:r>
      <w:r w:rsidR="00E023DC">
        <w:t xml:space="preserve">Trade </w:t>
      </w:r>
      <w:r w:rsidR="00AF3F75">
        <w:t>service is</w:t>
      </w:r>
      <w:r w:rsidR="00153E83">
        <w:t xml:space="preserve"> a </w:t>
      </w:r>
      <w:r w:rsidR="00E023DC">
        <w:t xml:space="preserve">model only </w:t>
      </w:r>
      <w:r w:rsidR="00153E83">
        <w:t xml:space="preserve">service </w:t>
      </w:r>
      <w:r w:rsidR="00E023DC">
        <w:t xml:space="preserve">and </w:t>
      </w:r>
      <w:r w:rsidR="002F434A">
        <w:t>will</w:t>
      </w:r>
      <w:r w:rsidR="00E023DC">
        <w:t xml:space="preserve"> not be reviewed </w:t>
      </w:r>
      <w:r w:rsidR="00153E83">
        <w:t xml:space="preserve">independently </w:t>
      </w:r>
      <w:r w:rsidR="00E023DC">
        <w:t xml:space="preserve">by </w:t>
      </w:r>
      <w:r w:rsidR="00AF3F75">
        <w:t>Quantity Surveyors</w:t>
      </w:r>
      <w:r w:rsidR="00E023DC">
        <w:t xml:space="preserve">. </w:t>
      </w:r>
      <w:r w:rsidR="00AF3F75" w:rsidRPr="00AF3F75">
        <w:t xml:space="preserve"> </w:t>
      </w:r>
      <w:r w:rsidR="00A72099">
        <w:t>The report therefore should not be co</w:t>
      </w:r>
      <w:r w:rsidR="00001A3A">
        <w:t xml:space="preserve">nsidered a fully detailed </w:t>
      </w:r>
      <w:r w:rsidR="00E40A01">
        <w:t xml:space="preserve">quantity survey report. </w:t>
      </w:r>
    </w:p>
    <w:p w14:paraId="62447717" w14:textId="6465BCDB" w:rsidR="005A6B50" w:rsidRDefault="00970206" w:rsidP="004345AF">
      <w:pPr>
        <w:pStyle w:val="ListParagraph"/>
        <w:numPr>
          <w:ilvl w:val="0"/>
          <w:numId w:val="17"/>
        </w:numPr>
        <w:jc w:val="both"/>
      </w:pPr>
      <w:proofErr w:type="spellStart"/>
      <w:r>
        <w:t>utecture</w:t>
      </w:r>
      <w:proofErr w:type="spellEnd"/>
      <w:r w:rsidR="00FE140A">
        <w:t xml:space="preserve"> will continue to add new suppliers and products </w:t>
      </w:r>
      <w:r w:rsidR="0062750E">
        <w:t xml:space="preserve">in system, however if a specified product is not yet </w:t>
      </w:r>
      <w:r w:rsidR="00BB4820">
        <w:t>available,</w:t>
      </w:r>
      <w:r w:rsidR="0062750E">
        <w:t xml:space="preserve"> we will allow a similar product for the purpose of producing a reasonable </w:t>
      </w:r>
      <w:r w:rsidR="00197A64">
        <w:t xml:space="preserve">equivalent price estimate. These will be tagged for your </w:t>
      </w:r>
      <w:r w:rsidR="00A577CB">
        <w:t>visibility.</w:t>
      </w:r>
    </w:p>
    <w:p w14:paraId="2D06CCFD" w14:textId="5B5DB01D" w:rsidR="008A0F6A" w:rsidRDefault="008A0F6A" w:rsidP="004345AF">
      <w:pPr>
        <w:pStyle w:val="ListParagraph"/>
        <w:numPr>
          <w:ilvl w:val="0"/>
          <w:numId w:val="17"/>
        </w:numPr>
        <w:jc w:val="both"/>
      </w:pPr>
      <w:r>
        <w:t>All materials, services, and products itemised in the report</w:t>
      </w:r>
      <w:r w:rsidR="00FB458D">
        <w:t xml:space="preserve"> are </w:t>
      </w:r>
      <w:r w:rsidR="00C811C1">
        <w:t xml:space="preserve">priced </w:t>
      </w:r>
      <w:r w:rsidR="00FB458D">
        <w:t>based on generic rates from affiliated suppliers, industry</w:t>
      </w:r>
      <w:r w:rsidR="00EF5CF9">
        <w:t xml:space="preserve"> standards and estimates</w:t>
      </w:r>
      <w:r w:rsidR="009B7509">
        <w:t xml:space="preserve"> based on trade rates for a small builder</w:t>
      </w:r>
      <w:r w:rsidR="00EF5CF9">
        <w:t xml:space="preserve">. They do not account for your </w:t>
      </w:r>
      <w:r w:rsidR="00C811C1">
        <w:t xml:space="preserve">personalised rates with each supplier and are not quotes. </w:t>
      </w:r>
      <w:r w:rsidR="005078BC">
        <w:t xml:space="preserve">Regional variance and product availability is not accounted for. </w:t>
      </w:r>
    </w:p>
    <w:p w14:paraId="7B4D0304" w14:textId="44AD5373" w:rsidR="003A2EFF" w:rsidRDefault="00EA6C5D" w:rsidP="004345AF">
      <w:pPr>
        <w:pStyle w:val="ListParagraph"/>
        <w:numPr>
          <w:ilvl w:val="0"/>
          <w:numId w:val="17"/>
        </w:numPr>
        <w:jc w:val="both"/>
      </w:pPr>
      <w:r>
        <w:t>The pricing supplied intends to reflect the cost of the project to the Builder and does</w:t>
      </w:r>
      <w:r>
        <w:tab/>
        <w:t xml:space="preserve">not </w:t>
      </w:r>
      <w:r w:rsidR="00767EDF">
        <w:t>allow</w:t>
      </w:r>
      <w:r w:rsidR="00BE470A">
        <w:t xml:space="preserve"> for Builder’s</w:t>
      </w:r>
      <w:r w:rsidR="00767EDF">
        <w:t xml:space="preserve"> </w:t>
      </w:r>
      <w:proofErr w:type="spellStart"/>
      <w:r w:rsidR="00767EDF">
        <w:t>markup</w:t>
      </w:r>
      <w:proofErr w:type="spellEnd"/>
      <w:r w:rsidR="00767EDF">
        <w:t xml:space="preserve"> to the end </w:t>
      </w:r>
      <w:r w:rsidR="00BE470A">
        <w:t>C</w:t>
      </w:r>
      <w:r w:rsidR="00767EDF">
        <w:t>ustomer</w:t>
      </w:r>
      <w:r w:rsidR="00513C94">
        <w:t>.</w:t>
      </w:r>
    </w:p>
    <w:p w14:paraId="7D127574" w14:textId="54D8707D" w:rsidR="000C02B2" w:rsidRDefault="004C0141" w:rsidP="000E023F">
      <w:pPr>
        <w:pStyle w:val="Heading2"/>
      </w:pPr>
      <w:r>
        <w:br w:type="page"/>
      </w:r>
      <w:r w:rsidR="000C02B2">
        <w:lastRenderedPageBreak/>
        <w:t xml:space="preserve">Service </w:t>
      </w:r>
      <w:r w:rsidR="00934575">
        <w:t>Fees</w:t>
      </w:r>
    </w:p>
    <w:tbl>
      <w:tblPr>
        <w:tblW w:w="7174" w:type="dxa"/>
        <w:tblLook w:val="04A0" w:firstRow="1" w:lastRow="0" w:firstColumn="1" w:lastColumn="0" w:noHBand="0" w:noVBand="1"/>
      </w:tblPr>
      <w:tblGrid>
        <w:gridCol w:w="4106"/>
        <w:gridCol w:w="1534"/>
        <w:gridCol w:w="1534"/>
      </w:tblGrid>
      <w:tr w:rsidR="00435C5A" w:rsidRPr="0041603B" w14:paraId="5FBD4F10" w14:textId="77777777" w:rsidTr="00F90304">
        <w:trPr>
          <w:trHeight w:val="285"/>
        </w:trPr>
        <w:tc>
          <w:tcPr>
            <w:tcW w:w="4106" w:type="dxa"/>
            <w:tcBorders>
              <w:top w:val="single" w:sz="4" w:space="0" w:color="156082"/>
              <w:left w:val="single" w:sz="4" w:space="0" w:color="156082"/>
              <w:bottom w:val="nil"/>
              <w:right w:val="nil"/>
            </w:tcBorders>
            <w:shd w:val="clear" w:color="156082" w:fill="156082"/>
            <w:noWrap/>
            <w:vAlign w:val="bottom"/>
            <w:hideMark/>
          </w:tcPr>
          <w:p w14:paraId="0B74E860" w14:textId="77777777" w:rsidR="00435C5A" w:rsidRPr="0041603B" w:rsidRDefault="00435C5A" w:rsidP="0041603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NZ"/>
                <w14:ligatures w14:val="none"/>
              </w:rPr>
            </w:pPr>
            <w:r w:rsidRPr="0041603B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NZ"/>
                <w14:ligatures w14:val="none"/>
              </w:rPr>
              <w:t>Service</w:t>
            </w:r>
          </w:p>
        </w:tc>
        <w:tc>
          <w:tcPr>
            <w:tcW w:w="1534" w:type="dxa"/>
            <w:tcBorders>
              <w:top w:val="single" w:sz="4" w:space="0" w:color="156082"/>
              <w:left w:val="nil"/>
              <w:bottom w:val="nil"/>
              <w:right w:val="nil"/>
            </w:tcBorders>
            <w:shd w:val="clear" w:color="156082" w:fill="156082"/>
          </w:tcPr>
          <w:p w14:paraId="56FF3643" w14:textId="7FAD2192" w:rsidR="00435C5A" w:rsidRDefault="00857492" w:rsidP="00F903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FFFF" w:themeColor="background1"/>
                <w:kern w:val="0"/>
                <w:lang w:eastAsia="en-NZ"/>
                <w14:ligatures w14:val="none"/>
              </w:rPr>
              <w:t xml:space="preserve"> Project Size</w:t>
            </w:r>
          </w:p>
        </w:tc>
        <w:tc>
          <w:tcPr>
            <w:tcW w:w="1534" w:type="dxa"/>
            <w:tcBorders>
              <w:top w:val="single" w:sz="4" w:space="0" w:color="156082"/>
              <w:left w:val="nil"/>
              <w:bottom w:val="nil"/>
              <w:right w:val="single" w:sz="4" w:space="0" w:color="156082"/>
            </w:tcBorders>
            <w:shd w:val="clear" w:color="156082" w:fill="156082"/>
            <w:noWrap/>
            <w:vAlign w:val="bottom"/>
            <w:hideMark/>
          </w:tcPr>
          <w:p w14:paraId="1F03616D" w14:textId="35D8BE09" w:rsidR="00435C5A" w:rsidRPr="0041603B" w:rsidRDefault="00435C5A" w:rsidP="00657D3E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en-NZ"/>
                <w14:ligatures w14:val="none"/>
              </w:rPr>
              <w:t>Price</w:t>
            </w:r>
          </w:p>
        </w:tc>
      </w:tr>
      <w:tr w:rsidR="00435C5A" w:rsidRPr="0041603B" w14:paraId="450D0A61" w14:textId="77777777" w:rsidTr="00F90304">
        <w:trPr>
          <w:trHeight w:val="285"/>
        </w:trPr>
        <w:tc>
          <w:tcPr>
            <w:tcW w:w="4106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nil"/>
            </w:tcBorders>
            <w:shd w:val="clear" w:color="C0E6F5" w:fill="C0E6F5"/>
            <w:vAlign w:val="center"/>
            <w:hideMark/>
          </w:tcPr>
          <w:p w14:paraId="7C8F090D" w14:textId="2FEDDF24" w:rsidR="00435C5A" w:rsidRPr="0041603B" w:rsidRDefault="00435C5A" w:rsidP="004160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Utecture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Trade – </w:t>
            </w:r>
            <w:r w:rsidR="007146AA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Standalone Residential</w:t>
            </w:r>
          </w:p>
        </w:tc>
        <w:tc>
          <w:tcPr>
            <w:tcW w:w="153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</w:tcPr>
          <w:p w14:paraId="5AD25803" w14:textId="463DA81D" w:rsidR="00435C5A" w:rsidRPr="0041603B" w:rsidRDefault="00857492" w:rsidP="0041603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Single Storey</w:t>
            </w:r>
          </w:p>
        </w:tc>
        <w:tc>
          <w:tcPr>
            <w:tcW w:w="153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  <w:hideMark/>
          </w:tcPr>
          <w:p w14:paraId="165B3BAD" w14:textId="17D17DC3" w:rsidR="00435C5A" w:rsidRPr="0041603B" w:rsidRDefault="00435C5A" w:rsidP="0041603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 w:rsidRPr="0041603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250</w:t>
            </w:r>
            <w:r w:rsidRPr="0041603B"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.00</w:t>
            </w:r>
          </w:p>
        </w:tc>
      </w:tr>
      <w:tr w:rsidR="007146AA" w:rsidRPr="0041603B" w14:paraId="1CD10518" w14:textId="77777777" w:rsidTr="00F90304">
        <w:trPr>
          <w:trHeight w:val="285"/>
        </w:trPr>
        <w:tc>
          <w:tcPr>
            <w:tcW w:w="4106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nil"/>
            </w:tcBorders>
            <w:shd w:val="clear" w:color="C0E6F5" w:fill="C0E6F5"/>
            <w:vAlign w:val="center"/>
          </w:tcPr>
          <w:p w14:paraId="0B4699B3" w14:textId="567EF8A8" w:rsidR="007146AA" w:rsidRDefault="007146AA" w:rsidP="0041603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Utecture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Trade – Standalone Residential</w:t>
            </w:r>
          </w:p>
        </w:tc>
        <w:tc>
          <w:tcPr>
            <w:tcW w:w="153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</w:tcPr>
          <w:p w14:paraId="2E831403" w14:textId="7F8819F1" w:rsidR="007146AA" w:rsidRDefault="00857492" w:rsidP="00F90304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Two or Three Storey</w:t>
            </w:r>
          </w:p>
        </w:tc>
        <w:tc>
          <w:tcPr>
            <w:tcW w:w="1534" w:type="dxa"/>
            <w:tcBorders>
              <w:top w:val="single" w:sz="4" w:space="0" w:color="156082"/>
              <w:left w:val="single" w:sz="4" w:space="0" w:color="156082"/>
              <w:bottom w:val="single" w:sz="4" w:space="0" w:color="156082"/>
              <w:right w:val="single" w:sz="4" w:space="0" w:color="156082"/>
            </w:tcBorders>
            <w:shd w:val="clear" w:color="C0E6F5" w:fill="C0E6F5"/>
            <w:noWrap/>
            <w:vAlign w:val="bottom"/>
          </w:tcPr>
          <w:p w14:paraId="75A38277" w14:textId="68A996DE" w:rsidR="007146AA" w:rsidRPr="0041603B" w:rsidRDefault="007146AA" w:rsidP="0041603B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$350.00</w:t>
            </w:r>
          </w:p>
        </w:tc>
      </w:tr>
      <w:tr w:rsidR="007146AA" w:rsidRPr="0041603B" w14:paraId="23B2E131" w14:textId="77777777" w:rsidTr="00435C5A">
        <w:trPr>
          <w:trHeight w:val="285"/>
        </w:trPr>
        <w:tc>
          <w:tcPr>
            <w:tcW w:w="4106" w:type="dxa"/>
            <w:tcBorders>
              <w:top w:val="single" w:sz="4" w:space="0" w:color="156082"/>
              <w:left w:val="single" w:sz="4" w:space="0" w:color="156082"/>
              <w:bottom w:val="nil"/>
              <w:right w:val="nil"/>
            </w:tcBorders>
            <w:shd w:val="clear" w:color="C0E6F5" w:fill="C0E6F5"/>
            <w:vAlign w:val="center"/>
          </w:tcPr>
          <w:p w14:paraId="562C6428" w14:textId="139FFE4B" w:rsidR="007146AA" w:rsidRDefault="007146AA" w:rsidP="007146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Utecture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 xml:space="preserve"> Trade – Multi Unit Residential </w:t>
            </w:r>
          </w:p>
        </w:tc>
        <w:tc>
          <w:tcPr>
            <w:tcW w:w="1534" w:type="dxa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C0E6F5" w:fill="C0E6F5"/>
          </w:tcPr>
          <w:p w14:paraId="000B3837" w14:textId="43F55D73" w:rsidR="007146AA" w:rsidRDefault="007146AA" w:rsidP="00714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Up to 1000m2</w:t>
            </w:r>
          </w:p>
        </w:tc>
        <w:tc>
          <w:tcPr>
            <w:tcW w:w="1534" w:type="dxa"/>
            <w:tcBorders>
              <w:top w:val="single" w:sz="4" w:space="0" w:color="156082"/>
              <w:left w:val="single" w:sz="4" w:space="0" w:color="156082"/>
              <w:bottom w:val="nil"/>
              <w:right w:val="single" w:sz="4" w:space="0" w:color="156082"/>
            </w:tcBorders>
            <w:shd w:val="clear" w:color="C0E6F5" w:fill="C0E6F5"/>
            <w:noWrap/>
            <w:vAlign w:val="bottom"/>
          </w:tcPr>
          <w:p w14:paraId="497835C0" w14:textId="0428AAD0" w:rsidR="007146AA" w:rsidRPr="0041603B" w:rsidRDefault="007146AA" w:rsidP="007146AA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NZ"/>
                <w14:ligatures w14:val="none"/>
              </w:rPr>
              <w:t>$450.00</w:t>
            </w:r>
          </w:p>
        </w:tc>
      </w:tr>
    </w:tbl>
    <w:p w14:paraId="11BB5105" w14:textId="77777777" w:rsidR="008E4D53" w:rsidRPr="000C02B2" w:rsidRDefault="008E4D53" w:rsidP="000C02B2"/>
    <w:p w14:paraId="6B88AC5D" w14:textId="7BA769C8" w:rsidR="00395046" w:rsidRDefault="00395046" w:rsidP="00395046">
      <w:pPr>
        <w:pStyle w:val="Heading2"/>
      </w:pPr>
      <w:r>
        <w:t xml:space="preserve">Explanation of </w:t>
      </w:r>
      <w:r w:rsidR="00AB4C36">
        <w:t>Fees</w:t>
      </w:r>
    </w:p>
    <w:p w14:paraId="6C4D8D33" w14:textId="537D1167" w:rsidR="00395046" w:rsidRDefault="00513054" w:rsidP="00395046">
      <w:pPr>
        <w:pStyle w:val="ListParagraph"/>
        <w:numPr>
          <w:ilvl w:val="0"/>
          <w:numId w:val="13"/>
        </w:numPr>
      </w:pPr>
      <w:proofErr w:type="spellStart"/>
      <w:r>
        <w:t>Utecture</w:t>
      </w:r>
      <w:proofErr w:type="spellEnd"/>
      <w:r>
        <w:t xml:space="preserve"> Trade Service and Report</w:t>
      </w:r>
    </w:p>
    <w:p w14:paraId="4CB47A17" w14:textId="53672BD6" w:rsidR="009B7E61" w:rsidRDefault="00CB5C47" w:rsidP="004345AF">
      <w:pPr>
        <w:pStyle w:val="ListParagraph"/>
        <w:numPr>
          <w:ilvl w:val="1"/>
          <w:numId w:val="13"/>
        </w:numPr>
        <w:jc w:val="both"/>
      </w:pPr>
      <w:proofErr w:type="spellStart"/>
      <w:r>
        <w:t>Utecture</w:t>
      </w:r>
      <w:proofErr w:type="spellEnd"/>
      <w:r>
        <w:t xml:space="preserve"> offer a flat rate </w:t>
      </w:r>
      <w:r w:rsidR="00495CE7">
        <w:t xml:space="preserve">for residential dwellings of 1 </w:t>
      </w:r>
      <w:r w:rsidR="00513054">
        <w:t>to 3</w:t>
      </w:r>
      <w:r w:rsidR="00495CE7">
        <w:t xml:space="preserve"> levels</w:t>
      </w:r>
      <w:r w:rsidR="006B10CF">
        <w:t>.</w:t>
      </w:r>
    </w:p>
    <w:p w14:paraId="4E03B8C2" w14:textId="13D71B83" w:rsidR="002F5EBE" w:rsidRDefault="00513054" w:rsidP="004345AF">
      <w:pPr>
        <w:pStyle w:val="ListParagraph"/>
        <w:numPr>
          <w:ilvl w:val="1"/>
          <w:numId w:val="13"/>
        </w:numPr>
        <w:jc w:val="both"/>
      </w:pPr>
      <w:r>
        <w:t>E</w:t>
      </w:r>
      <w:r w:rsidR="002F5EBE">
        <w:t>ach job must consist of only one building. Secondary disconnected buildings must be submitted as a separate job.</w:t>
      </w:r>
    </w:p>
    <w:p w14:paraId="2B16EF21" w14:textId="235836A7" w:rsidR="0090008E" w:rsidRDefault="0090008E" w:rsidP="004345AF">
      <w:pPr>
        <w:pStyle w:val="ListParagraph"/>
        <w:numPr>
          <w:ilvl w:val="1"/>
          <w:numId w:val="13"/>
        </w:numPr>
        <w:jc w:val="both"/>
      </w:pPr>
      <w:r>
        <w:t>The</w:t>
      </w:r>
      <w:r w:rsidR="00B84D3E">
        <w:t xml:space="preserve"> Service concludes when the</w:t>
      </w:r>
      <w:r>
        <w:t xml:space="preserve"> </w:t>
      </w:r>
      <w:proofErr w:type="spellStart"/>
      <w:r w:rsidR="000A5D96">
        <w:t>Utecture</w:t>
      </w:r>
      <w:proofErr w:type="spellEnd"/>
      <w:r w:rsidR="000A5D96">
        <w:t xml:space="preserve"> Trade</w:t>
      </w:r>
      <w:r>
        <w:t xml:space="preserve"> Report </w:t>
      </w:r>
      <w:r w:rsidR="00B84D3E">
        <w:t xml:space="preserve">is </w:t>
      </w:r>
      <w:r>
        <w:t xml:space="preserve">returned </w:t>
      </w:r>
      <w:r w:rsidR="008C3963">
        <w:t xml:space="preserve">– build variations or amendment requests are regarded as a new job and will incur </w:t>
      </w:r>
      <w:r w:rsidR="00BC78DF">
        <w:t>a separate service charge</w:t>
      </w:r>
      <w:r w:rsidR="0021758C">
        <w:t>.</w:t>
      </w:r>
    </w:p>
    <w:p w14:paraId="26992C78" w14:textId="1A95E10D" w:rsidR="00433AD4" w:rsidRDefault="00433AD4" w:rsidP="004345AF">
      <w:pPr>
        <w:pStyle w:val="ListParagraph"/>
        <w:numPr>
          <w:ilvl w:val="1"/>
          <w:numId w:val="13"/>
        </w:numPr>
        <w:jc w:val="both"/>
      </w:pPr>
      <w:r>
        <w:t xml:space="preserve">Pricing is provided in NZ dollars </w:t>
      </w:r>
    </w:p>
    <w:sectPr w:rsidR="00433AD4" w:rsidSect="00CD5EE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E923C" w14:textId="77777777" w:rsidR="00C40E41" w:rsidRDefault="00C40E41" w:rsidP="002C201A">
      <w:pPr>
        <w:spacing w:after="0" w:line="240" w:lineRule="auto"/>
      </w:pPr>
      <w:r>
        <w:separator/>
      </w:r>
    </w:p>
  </w:endnote>
  <w:endnote w:type="continuationSeparator" w:id="0">
    <w:p w14:paraId="4A18B12B" w14:textId="77777777" w:rsidR="00C40E41" w:rsidRDefault="00C40E41" w:rsidP="002C201A">
      <w:pPr>
        <w:spacing w:after="0" w:line="240" w:lineRule="auto"/>
      </w:pPr>
      <w:r>
        <w:continuationSeparator/>
      </w:r>
    </w:p>
  </w:endnote>
  <w:endnote w:type="continuationNotice" w:id="1">
    <w:p w14:paraId="46BCE83E" w14:textId="77777777" w:rsidR="00C40E41" w:rsidRDefault="00C40E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D5BD6B" w14:textId="7B4E206A" w:rsidR="002C201A" w:rsidRDefault="002C201A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05C42D" wp14:editId="6B7E087D">
          <wp:simplePos x="0" y="0"/>
          <wp:positionH relativeFrom="margin">
            <wp:align>center</wp:align>
          </wp:positionH>
          <wp:positionV relativeFrom="paragraph">
            <wp:posOffset>-98002</wp:posOffset>
          </wp:positionV>
          <wp:extent cx="3979545" cy="355600"/>
          <wp:effectExtent l="0" t="0" r="0" b="6350"/>
          <wp:wrapNone/>
          <wp:docPr id="65464990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954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8212BA4" w14:paraId="0B5F3E36" w14:textId="77777777" w:rsidTr="48212BA4">
      <w:trPr>
        <w:trHeight w:val="300"/>
      </w:trPr>
      <w:tc>
        <w:tcPr>
          <w:tcW w:w="3005" w:type="dxa"/>
        </w:tcPr>
        <w:p w14:paraId="53B61F74" w14:textId="5B116308" w:rsidR="48212BA4" w:rsidRDefault="48212BA4" w:rsidP="48212BA4">
          <w:pPr>
            <w:pStyle w:val="Header"/>
            <w:ind w:left="-115"/>
          </w:pPr>
        </w:p>
      </w:tc>
      <w:tc>
        <w:tcPr>
          <w:tcW w:w="3005" w:type="dxa"/>
        </w:tcPr>
        <w:p w14:paraId="7A83FD45" w14:textId="56E18E5E" w:rsidR="48212BA4" w:rsidRDefault="48212BA4" w:rsidP="48212BA4">
          <w:pPr>
            <w:pStyle w:val="Header"/>
            <w:jc w:val="center"/>
          </w:pPr>
        </w:p>
      </w:tc>
      <w:tc>
        <w:tcPr>
          <w:tcW w:w="3005" w:type="dxa"/>
        </w:tcPr>
        <w:p w14:paraId="196FBA68" w14:textId="0A4B82DF" w:rsidR="48212BA4" w:rsidRDefault="48212BA4" w:rsidP="48212BA4">
          <w:pPr>
            <w:pStyle w:val="Header"/>
            <w:ind w:right="-115"/>
            <w:jc w:val="right"/>
          </w:pPr>
        </w:p>
      </w:tc>
    </w:tr>
  </w:tbl>
  <w:p w14:paraId="24E13421" w14:textId="10C7B816" w:rsidR="48212BA4" w:rsidRDefault="48212BA4" w:rsidP="48212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69AA4" w14:textId="77777777" w:rsidR="00C40E41" w:rsidRDefault="00C40E41" w:rsidP="002C201A">
      <w:pPr>
        <w:spacing w:after="0" w:line="240" w:lineRule="auto"/>
      </w:pPr>
      <w:r>
        <w:separator/>
      </w:r>
    </w:p>
  </w:footnote>
  <w:footnote w:type="continuationSeparator" w:id="0">
    <w:p w14:paraId="36C9C044" w14:textId="77777777" w:rsidR="00C40E41" w:rsidRDefault="00C40E41" w:rsidP="002C201A">
      <w:pPr>
        <w:spacing w:after="0" w:line="240" w:lineRule="auto"/>
      </w:pPr>
      <w:r>
        <w:continuationSeparator/>
      </w:r>
    </w:p>
  </w:footnote>
  <w:footnote w:type="continuationNotice" w:id="1">
    <w:p w14:paraId="114454CA" w14:textId="77777777" w:rsidR="00C40E41" w:rsidRDefault="00C40E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7E215" w14:textId="7ABD8D7D" w:rsidR="002C201A" w:rsidRDefault="00071500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1090F333" wp14:editId="2E1563FF">
          <wp:simplePos x="0" y="0"/>
          <wp:positionH relativeFrom="column">
            <wp:posOffset>3800723</wp:posOffset>
          </wp:positionH>
          <wp:positionV relativeFrom="paragraph">
            <wp:posOffset>42296</wp:posOffset>
          </wp:positionV>
          <wp:extent cx="2313940" cy="850900"/>
          <wp:effectExtent l="0" t="0" r="0" b="0"/>
          <wp:wrapNone/>
          <wp:docPr id="1519135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4A2E1" w14:textId="4C8448D0" w:rsidR="004B1993" w:rsidRDefault="00A05DB1" w:rsidP="00A05DB1">
    <w:pPr>
      <w:pStyle w:val="Header"/>
      <w:jc w:val="center"/>
    </w:pPr>
    <w:r>
      <w:rPr>
        <w:noProof/>
      </w:rPr>
      <w:drawing>
        <wp:inline distT="0" distB="0" distL="0" distR="0" wp14:anchorId="60F5FD66" wp14:editId="10A628FD">
          <wp:extent cx="3156668" cy="1380867"/>
          <wp:effectExtent l="0" t="0" r="5715" b="0"/>
          <wp:docPr id="1450329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3639" cy="1388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073F"/>
    <w:multiLevelType w:val="multilevel"/>
    <w:tmpl w:val="5A40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076E20"/>
    <w:multiLevelType w:val="multilevel"/>
    <w:tmpl w:val="07BC0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2F5651"/>
    <w:multiLevelType w:val="multilevel"/>
    <w:tmpl w:val="39087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A327A0"/>
    <w:multiLevelType w:val="hybridMultilevel"/>
    <w:tmpl w:val="9BA4811C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86667"/>
    <w:multiLevelType w:val="hybridMultilevel"/>
    <w:tmpl w:val="8BCA5E8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26FF5"/>
    <w:multiLevelType w:val="multilevel"/>
    <w:tmpl w:val="D1041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6E5A1D"/>
    <w:multiLevelType w:val="multilevel"/>
    <w:tmpl w:val="97E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9C194D"/>
    <w:multiLevelType w:val="multilevel"/>
    <w:tmpl w:val="A808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EA2770"/>
    <w:multiLevelType w:val="hybridMultilevel"/>
    <w:tmpl w:val="55FAC8D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E20BC"/>
    <w:multiLevelType w:val="multilevel"/>
    <w:tmpl w:val="1BEA21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55243"/>
    <w:multiLevelType w:val="multilevel"/>
    <w:tmpl w:val="27FEC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AAC5BA7"/>
    <w:multiLevelType w:val="multilevel"/>
    <w:tmpl w:val="A5FE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D01B48"/>
    <w:multiLevelType w:val="hybridMultilevel"/>
    <w:tmpl w:val="553EC00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22096"/>
    <w:multiLevelType w:val="hybridMultilevel"/>
    <w:tmpl w:val="553EC00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04CD6"/>
    <w:multiLevelType w:val="multilevel"/>
    <w:tmpl w:val="E326D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6E416E6"/>
    <w:multiLevelType w:val="hybridMultilevel"/>
    <w:tmpl w:val="7B62BF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E1189E"/>
    <w:multiLevelType w:val="multilevel"/>
    <w:tmpl w:val="456A8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3"/>
  </w:num>
  <w:num w:numId="14">
    <w:abstractNumId w:val="8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trackRevision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1A"/>
    <w:rsid w:val="00000429"/>
    <w:rsid w:val="00001A3A"/>
    <w:rsid w:val="00002E2E"/>
    <w:rsid w:val="00014309"/>
    <w:rsid w:val="00015F0A"/>
    <w:rsid w:val="00016681"/>
    <w:rsid w:val="00023856"/>
    <w:rsid w:val="00023E6F"/>
    <w:rsid w:val="00034CC4"/>
    <w:rsid w:val="00047122"/>
    <w:rsid w:val="0005113C"/>
    <w:rsid w:val="000517A3"/>
    <w:rsid w:val="00051EFB"/>
    <w:rsid w:val="00052FCF"/>
    <w:rsid w:val="00053C9F"/>
    <w:rsid w:val="00071500"/>
    <w:rsid w:val="000775E4"/>
    <w:rsid w:val="000829BB"/>
    <w:rsid w:val="00086158"/>
    <w:rsid w:val="00087B8E"/>
    <w:rsid w:val="00093E4D"/>
    <w:rsid w:val="000A3066"/>
    <w:rsid w:val="000A5D96"/>
    <w:rsid w:val="000B1FB0"/>
    <w:rsid w:val="000B6DD8"/>
    <w:rsid w:val="000C02B2"/>
    <w:rsid w:val="000C7E9E"/>
    <w:rsid w:val="000D370E"/>
    <w:rsid w:val="000D397B"/>
    <w:rsid w:val="000D4108"/>
    <w:rsid w:val="000D6137"/>
    <w:rsid w:val="000D7F26"/>
    <w:rsid w:val="000E023F"/>
    <w:rsid w:val="000E1824"/>
    <w:rsid w:val="000E2C46"/>
    <w:rsid w:val="000E3F1A"/>
    <w:rsid w:val="000F58E9"/>
    <w:rsid w:val="000F78D4"/>
    <w:rsid w:val="00104661"/>
    <w:rsid w:val="001241FB"/>
    <w:rsid w:val="00124A93"/>
    <w:rsid w:val="00127060"/>
    <w:rsid w:val="0014242F"/>
    <w:rsid w:val="00153D13"/>
    <w:rsid w:val="00153E83"/>
    <w:rsid w:val="0016427B"/>
    <w:rsid w:val="001706B4"/>
    <w:rsid w:val="001750D5"/>
    <w:rsid w:val="001763FA"/>
    <w:rsid w:val="00182755"/>
    <w:rsid w:val="00187EB7"/>
    <w:rsid w:val="00191325"/>
    <w:rsid w:val="00197A64"/>
    <w:rsid w:val="001A2E86"/>
    <w:rsid w:val="001A5E74"/>
    <w:rsid w:val="001A5FB4"/>
    <w:rsid w:val="001B4251"/>
    <w:rsid w:val="001B4A36"/>
    <w:rsid w:val="001C193B"/>
    <w:rsid w:val="001D108A"/>
    <w:rsid w:val="001D3550"/>
    <w:rsid w:val="001D4898"/>
    <w:rsid w:val="001E0E7E"/>
    <w:rsid w:val="001F2875"/>
    <w:rsid w:val="00207FA7"/>
    <w:rsid w:val="00210B98"/>
    <w:rsid w:val="00216118"/>
    <w:rsid w:val="0021758C"/>
    <w:rsid w:val="002176B6"/>
    <w:rsid w:val="00231B9C"/>
    <w:rsid w:val="0023204D"/>
    <w:rsid w:val="002350D8"/>
    <w:rsid w:val="00240B2A"/>
    <w:rsid w:val="00240BD2"/>
    <w:rsid w:val="002466DC"/>
    <w:rsid w:val="00247584"/>
    <w:rsid w:val="002510CF"/>
    <w:rsid w:val="002544BF"/>
    <w:rsid w:val="0025685D"/>
    <w:rsid w:val="002631BA"/>
    <w:rsid w:val="0027020F"/>
    <w:rsid w:val="00273D8D"/>
    <w:rsid w:val="002745A7"/>
    <w:rsid w:val="002779B4"/>
    <w:rsid w:val="002811C4"/>
    <w:rsid w:val="0028519E"/>
    <w:rsid w:val="00295386"/>
    <w:rsid w:val="00296E65"/>
    <w:rsid w:val="00297DDE"/>
    <w:rsid w:val="002A3242"/>
    <w:rsid w:val="002B2AA0"/>
    <w:rsid w:val="002C03B8"/>
    <w:rsid w:val="002C113B"/>
    <w:rsid w:val="002C119E"/>
    <w:rsid w:val="002C201A"/>
    <w:rsid w:val="002D0DA2"/>
    <w:rsid w:val="002E00CE"/>
    <w:rsid w:val="002E00FB"/>
    <w:rsid w:val="002E5F06"/>
    <w:rsid w:val="002F434A"/>
    <w:rsid w:val="002F5EBE"/>
    <w:rsid w:val="002F7F3F"/>
    <w:rsid w:val="003014A2"/>
    <w:rsid w:val="0030252F"/>
    <w:rsid w:val="00303FC9"/>
    <w:rsid w:val="0030465F"/>
    <w:rsid w:val="00310A38"/>
    <w:rsid w:val="00316AD1"/>
    <w:rsid w:val="00326943"/>
    <w:rsid w:val="00327954"/>
    <w:rsid w:val="003405EF"/>
    <w:rsid w:val="003408DE"/>
    <w:rsid w:val="00340F87"/>
    <w:rsid w:val="00346602"/>
    <w:rsid w:val="00347FE3"/>
    <w:rsid w:val="00364F17"/>
    <w:rsid w:val="00366F05"/>
    <w:rsid w:val="003806BC"/>
    <w:rsid w:val="00382ACE"/>
    <w:rsid w:val="00387513"/>
    <w:rsid w:val="003879BE"/>
    <w:rsid w:val="0039025C"/>
    <w:rsid w:val="00392E66"/>
    <w:rsid w:val="00394141"/>
    <w:rsid w:val="00395046"/>
    <w:rsid w:val="00396791"/>
    <w:rsid w:val="003A2EFF"/>
    <w:rsid w:val="003A7EBA"/>
    <w:rsid w:val="003B3D8A"/>
    <w:rsid w:val="003C0ED1"/>
    <w:rsid w:val="003C76AD"/>
    <w:rsid w:val="003D029A"/>
    <w:rsid w:val="003E6044"/>
    <w:rsid w:val="003F6804"/>
    <w:rsid w:val="00403153"/>
    <w:rsid w:val="0041603B"/>
    <w:rsid w:val="00416AE0"/>
    <w:rsid w:val="0041790E"/>
    <w:rsid w:val="00420CA3"/>
    <w:rsid w:val="00432A63"/>
    <w:rsid w:val="00433AD4"/>
    <w:rsid w:val="004345AF"/>
    <w:rsid w:val="00435C5A"/>
    <w:rsid w:val="00436350"/>
    <w:rsid w:val="00444188"/>
    <w:rsid w:val="00450287"/>
    <w:rsid w:val="00455877"/>
    <w:rsid w:val="0045681D"/>
    <w:rsid w:val="00462E46"/>
    <w:rsid w:val="00467E09"/>
    <w:rsid w:val="00475EA4"/>
    <w:rsid w:val="00476DF3"/>
    <w:rsid w:val="00485DA4"/>
    <w:rsid w:val="00495CE7"/>
    <w:rsid w:val="004A488D"/>
    <w:rsid w:val="004A5266"/>
    <w:rsid w:val="004B0359"/>
    <w:rsid w:val="004B1993"/>
    <w:rsid w:val="004C0141"/>
    <w:rsid w:val="004C0437"/>
    <w:rsid w:val="004E1225"/>
    <w:rsid w:val="004E6156"/>
    <w:rsid w:val="005078BC"/>
    <w:rsid w:val="00513054"/>
    <w:rsid w:val="00513C94"/>
    <w:rsid w:val="005156D2"/>
    <w:rsid w:val="00522691"/>
    <w:rsid w:val="005364BA"/>
    <w:rsid w:val="00552484"/>
    <w:rsid w:val="00553103"/>
    <w:rsid w:val="00554223"/>
    <w:rsid w:val="005556F4"/>
    <w:rsid w:val="0056468D"/>
    <w:rsid w:val="00567687"/>
    <w:rsid w:val="0057424C"/>
    <w:rsid w:val="00576385"/>
    <w:rsid w:val="00576F62"/>
    <w:rsid w:val="005770AB"/>
    <w:rsid w:val="005824DE"/>
    <w:rsid w:val="00583A87"/>
    <w:rsid w:val="005858E8"/>
    <w:rsid w:val="00585988"/>
    <w:rsid w:val="00594474"/>
    <w:rsid w:val="00596D14"/>
    <w:rsid w:val="005A6B50"/>
    <w:rsid w:val="005A7F00"/>
    <w:rsid w:val="005B22B4"/>
    <w:rsid w:val="005C3436"/>
    <w:rsid w:val="005C4E68"/>
    <w:rsid w:val="005E6061"/>
    <w:rsid w:val="005E6C4E"/>
    <w:rsid w:val="005F63C7"/>
    <w:rsid w:val="005F7809"/>
    <w:rsid w:val="005F7922"/>
    <w:rsid w:val="00610DF5"/>
    <w:rsid w:val="00613121"/>
    <w:rsid w:val="00622879"/>
    <w:rsid w:val="00622DD1"/>
    <w:rsid w:val="0062750E"/>
    <w:rsid w:val="00630E28"/>
    <w:rsid w:val="006363E2"/>
    <w:rsid w:val="00637B33"/>
    <w:rsid w:val="00645B3E"/>
    <w:rsid w:val="00647312"/>
    <w:rsid w:val="00653780"/>
    <w:rsid w:val="00655BCA"/>
    <w:rsid w:val="006578B7"/>
    <w:rsid w:val="00657D3E"/>
    <w:rsid w:val="00666548"/>
    <w:rsid w:val="00667567"/>
    <w:rsid w:val="00674040"/>
    <w:rsid w:val="00692B8F"/>
    <w:rsid w:val="006A16E2"/>
    <w:rsid w:val="006A58FB"/>
    <w:rsid w:val="006B10CF"/>
    <w:rsid w:val="006B10D3"/>
    <w:rsid w:val="006B2C54"/>
    <w:rsid w:val="006B7B99"/>
    <w:rsid w:val="006C2488"/>
    <w:rsid w:val="006D0AF5"/>
    <w:rsid w:val="006D67AF"/>
    <w:rsid w:val="006D6A35"/>
    <w:rsid w:val="006F5E7E"/>
    <w:rsid w:val="006F681A"/>
    <w:rsid w:val="00702CA1"/>
    <w:rsid w:val="00706728"/>
    <w:rsid w:val="00707290"/>
    <w:rsid w:val="0071015A"/>
    <w:rsid w:val="007146AA"/>
    <w:rsid w:val="00730F8F"/>
    <w:rsid w:val="0073603F"/>
    <w:rsid w:val="00742ABD"/>
    <w:rsid w:val="00751919"/>
    <w:rsid w:val="00767EDF"/>
    <w:rsid w:val="007822BF"/>
    <w:rsid w:val="007A70BD"/>
    <w:rsid w:val="007B0250"/>
    <w:rsid w:val="007B10B7"/>
    <w:rsid w:val="007B2001"/>
    <w:rsid w:val="007D0E95"/>
    <w:rsid w:val="007D5C67"/>
    <w:rsid w:val="007E7903"/>
    <w:rsid w:val="007F5927"/>
    <w:rsid w:val="00820DC6"/>
    <w:rsid w:val="00827058"/>
    <w:rsid w:val="00827061"/>
    <w:rsid w:val="0083368B"/>
    <w:rsid w:val="008403A5"/>
    <w:rsid w:val="00840866"/>
    <w:rsid w:val="008467B2"/>
    <w:rsid w:val="00850EF5"/>
    <w:rsid w:val="0085555B"/>
    <w:rsid w:val="00857492"/>
    <w:rsid w:val="00860331"/>
    <w:rsid w:val="00860F00"/>
    <w:rsid w:val="0087212C"/>
    <w:rsid w:val="00882F87"/>
    <w:rsid w:val="0088443A"/>
    <w:rsid w:val="00885B6D"/>
    <w:rsid w:val="00890609"/>
    <w:rsid w:val="00890BB6"/>
    <w:rsid w:val="00892196"/>
    <w:rsid w:val="0089418B"/>
    <w:rsid w:val="008955FF"/>
    <w:rsid w:val="00896EA1"/>
    <w:rsid w:val="008975E8"/>
    <w:rsid w:val="008A0F6A"/>
    <w:rsid w:val="008B7C50"/>
    <w:rsid w:val="008C1ADF"/>
    <w:rsid w:val="008C3963"/>
    <w:rsid w:val="008D28B3"/>
    <w:rsid w:val="008D3BE6"/>
    <w:rsid w:val="008D7571"/>
    <w:rsid w:val="008E4D53"/>
    <w:rsid w:val="008E4E18"/>
    <w:rsid w:val="008E7832"/>
    <w:rsid w:val="0090008E"/>
    <w:rsid w:val="009145A0"/>
    <w:rsid w:val="00932D66"/>
    <w:rsid w:val="00934575"/>
    <w:rsid w:val="00936070"/>
    <w:rsid w:val="00937988"/>
    <w:rsid w:val="009401F9"/>
    <w:rsid w:val="009411F2"/>
    <w:rsid w:val="009461A2"/>
    <w:rsid w:val="00962218"/>
    <w:rsid w:val="00962496"/>
    <w:rsid w:val="00965ACF"/>
    <w:rsid w:val="00970206"/>
    <w:rsid w:val="00972165"/>
    <w:rsid w:val="00977508"/>
    <w:rsid w:val="0097796B"/>
    <w:rsid w:val="00980BDF"/>
    <w:rsid w:val="009844A4"/>
    <w:rsid w:val="00995FC1"/>
    <w:rsid w:val="009971FF"/>
    <w:rsid w:val="009A10E5"/>
    <w:rsid w:val="009B427A"/>
    <w:rsid w:val="009B5275"/>
    <w:rsid w:val="009B7509"/>
    <w:rsid w:val="009B7E61"/>
    <w:rsid w:val="009D5B9D"/>
    <w:rsid w:val="009E064F"/>
    <w:rsid w:val="009E5F97"/>
    <w:rsid w:val="009F0485"/>
    <w:rsid w:val="009F384B"/>
    <w:rsid w:val="009F5023"/>
    <w:rsid w:val="00A0112C"/>
    <w:rsid w:val="00A05DB1"/>
    <w:rsid w:val="00A060E4"/>
    <w:rsid w:val="00A16304"/>
    <w:rsid w:val="00A22050"/>
    <w:rsid w:val="00A2210A"/>
    <w:rsid w:val="00A232C2"/>
    <w:rsid w:val="00A25F88"/>
    <w:rsid w:val="00A276C5"/>
    <w:rsid w:val="00A31EB1"/>
    <w:rsid w:val="00A35D3E"/>
    <w:rsid w:val="00A42769"/>
    <w:rsid w:val="00A45DD6"/>
    <w:rsid w:val="00A5037F"/>
    <w:rsid w:val="00A577CB"/>
    <w:rsid w:val="00A72099"/>
    <w:rsid w:val="00A72D5D"/>
    <w:rsid w:val="00A72F81"/>
    <w:rsid w:val="00A7711C"/>
    <w:rsid w:val="00A829EB"/>
    <w:rsid w:val="00A84F05"/>
    <w:rsid w:val="00A96CAF"/>
    <w:rsid w:val="00A97A7B"/>
    <w:rsid w:val="00AA037D"/>
    <w:rsid w:val="00AA5E2B"/>
    <w:rsid w:val="00AB37F0"/>
    <w:rsid w:val="00AB4C36"/>
    <w:rsid w:val="00AC5215"/>
    <w:rsid w:val="00AD005D"/>
    <w:rsid w:val="00AE319E"/>
    <w:rsid w:val="00AF3F75"/>
    <w:rsid w:val="00B04827"/>
    <w:rsid w:val="00B07AE9"/>
    <w:rsid w:val="00B22110"/>
    <w:rsid w:val="00B306ED"/>
    <w:rsid w:val="00B30A77"/>
    <w:rsid w:val="00B3248F"/>
    <w:rsid w:val="00B43520"/>
    <w:rsid w:val="00B43ECE"/>
    <w:rsid w:val="00B50268"/>
    <w:rsid w:val="00B507D4"/>
    <w:rsid w:val="00B5345E"/>
    <w:rsid w:val="00B54A04"/>
    <w:rsid w:val="00B565BA"/>
    <w:rsid w:val="00B67B6E"/>
    <w:rsid w:val="00B84D3E"/>
    <w:rsid w:val="00BA0CC4"/>
    <w:rsid w:val="00BA6E5C"/>
    <w:rsid w:val="00BB3F8B"/>
    <w:rsid w:val="00BB4820"/>
    <w:rsid w:val="00BB617D"/>
    <w:rsid w:val="00BC323A"/>
    <w:rsid w:val="00BC384E"/>
    <w:rsid w:val="00BC7162"/>
    <w:rsid w:val="00BC78DF"/>
    <w:rsid w:val="00BD0B63"/>
    <w:rsid w:val="00BD6CE8"/>
    <w:rsid w:val="00BE1EFC"/>
    <w:rsid w:val="00BE23CB"/>
    <w:rsid w:val="00BE470A"/>
    <w:rsid w:val="00BF303D"/>
    <w:rsid w:val="00BF39F0"/>
    <w:rsid w:val="00BF618B"/>
    <w:rsid w:val="00C026F4"/>
    <w:rsid w:val="00C0538A"/>
    <w:rsid w:val="00C06C77"/>
    <w:rsid w:val="00C072E9"/>
    <w:rsid w:val="00C10716"/>
    <w:rsid w:val="00C1212F"/>
    <w:rsid w:val="00C40E41"/>
    <w:rsid w:val="00C53804"/>
    <w:rsid w:val="00C66388"/>
    <w:rsid w:val="00C66DC6"/>
    <w:rsid w:val="00C811C1"/>
    <w:rsid w:val="00C90B55"/>
    <w:rsid w:val="00C9164A"/>
    <w:rsid w:val="00CA0605"/>
    <w:rsid w:val="00CB0DF3"/>
    <w:rsid w:val="00CB5C47"/>
    <w:rsid w:val="00CC40B5"/>
    <w:rsid w:val="00CD4CDF"/>
    <w:rsid w:val="00CD5EEB"/>
    <w:rsid w:val="00CD7E99"/>
    <w:rsid w:val="00CF24FC"/>
    <w:rsid w:val="00CF25E3"/>
    <w:rsid w:val="00CF2E8C"/>
    <w:rsid w:val="00CF73EB"/>
    <w:rsid w:val="00D00C35"/>
    <w:rsid w:val="00D033DB"/>
    <w:rsid w:val="00D05E50"/>
    <w:rsid w:val="00D13EBE"/>
    <w:rsid w:val="00D26856"/>
    <w:rsid w:val="00D32789"/>
    <w:rsid w:val="00D379DF"/>
    <w:rsid w:val="00D41358"/>
    <w:rsid w:val="00D4483E"/>
    <w:rsid w:val="00D52922"/>
    <w:rsid w:val="00D5380D"/>
    <w:rsid w:val="00D566C2"/>
    <w:rsid w:val="00D63286"/>
    <w:rsid w:val="00D671A1"/>
    <w:rsid w:val="00D70E0A"/>
    <w:rsid w:val="00D7209F"/>
    <w:rsid w:val="00D7459C"/>
    <w:rsid w:val="00D7745D"/>
    <w:rsid w:val="00D84A55"/>
    <w:rsid w:val="00D86932"/>
    <w:rsid w:val="00D93924"/>
    <w:rsid w:val="00DA075D"/>
    <w:rsid w:val="00DA3668"/>
    <w:rsid w:val="00DC3494"/>
    <w:rsid w:val="00DD3574"/>
    <w:rsid w:val="00DD3FCD"/>
    <w:rsid w:val="00DD529C"/>
    <w:rsid w:val="00DE03E3"/>
    <w:rsid w:val="00DE09CA"/>
    <w:rsid w:val="00DF067E"/>
    <w:rsid w:val="00DF2D75"/>
    <w:rsid w:val="00DF7F68"/>
    <w:rsid w:val="00E023DC"/>
    <w:rsid w:val="00E0599A"/>
    <w:rsid w:val="00E11BD2"/>
    <w:rsid w:val="00E2786E"/>
    <w:rsid w:val="00E3218D"/>
    <w:rsid w:val="00E40A01"/>
    <w:rsid w:val="00E44796"/>
    <w:rsid w:val="00E450CF"/>
    <w:rsid w:val="00E559E4"/>
    <w:rsid w:val="00E64612"/>
    <w:rsid w:val="00E8489D"/>
    <w:rsid w:val="00E92AEC"/>
    <w:rsid w:val="00E9628A"/>
    <w:rsid w:val="00EA4C54"/>
    <w:rsid w:val="00EA6C5D"/>
    <w:rsid w:val="00EB0CB5"/>
    <w:rsid w:val="00EB4356"/>
    <w:rsid w:val="00EC5429"/>
    <w:rsid w:val="00EC63C3"/>
    <w:rsid w:val="00ED0A9F"/>
    <w:rsid w:val="00EE4CF9"/>
    <w:rsid w:val="00EF029D"/>
    <w:rsid w:val="00EF1080"/>
    <w:rsid w:val="00EF4371"/>
    <w:rsid w:val="00EF5CF9"/>
    <w:rsid w:val="00F056F7"/>
    <w:rsid w:val="00F072CB"/>
    <w:rsid w:val="00F07A3B"/>
    <w:rsid w:val="00F1245E"/>
    <w:rsid w:val="00F207AD"/>
    <w:rsid w:val="00F241A9"/>
    <w:rsid w:val="00F3674B"/>
    <w:rsid w:val="00F415AB"/>
    <w:rsid w:val="00F45CA7"/>
    <w:rsid w:val="00F47D60"/>
    <w:rsid w:val="00F503C3"/>
    <w:rsid w:val="00F50CF2"/>
    <w:rsid w:val="00F535D5"/>
    <w:rsid w:val="00F61A01"/>
    <w:rsid w:val="00F625DA"/>
    <w:rsid w:val="00F635DB"/>
    <w:rsid w:val="00F6409A"/>
    <w:rsid w:val="00F67276"/>
    <w:rsid w:val="00F80CA6"/>
    <w:rsid w:val="00F815EC"/>
    <w:rsid w:val="00F85EA6"/>
    <w:rsid w:val="00F90304"/>
    <w:rsid w:val="00F957F3"/>
    <w:rsid w:val="00FA2ABE"/>
    <w:rsid w:val="00FA47DB"/>
    <w:rsid w:val="00FA6C24"/>
    <w:rsid w:val="00FB458D"/>
    <w:rsid w:val="00FB5181"/>
    <w:rsid w:val="00FB52DA"/>
    <w:rsid w:val="00FD1CA1"/>
    <w:rsid w:val="00FE140A"/>
    <w:rsid w:val="00FF5C49"/>
    <w:rsid w:val="1166647C"/>
    <w:rsid w:val="48212BA4"/>
    <w:rsid w:val="55B9FD59"/>
    <w:rsid w:val="75F1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D6F90"/>
  <w15:chartTrackingRefBased/>
  <w15:docId w15:val="{4EB1B1A3-8F56-45FB-83BC-EE412325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20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0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0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0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0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0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0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0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0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0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C20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0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0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0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0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0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0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0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20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20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0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20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20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20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20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20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0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0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201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C2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01A"/>
  </w:style>
  <w:style w:type="paragraph" w:styleId="Footer">
    <w:name w:val="footer"/>
    <w:basedOn w:val="Normal"/>
    <w:link w:val="FooterChar"/>
    <w:uiPriority w:val="99"/>
    <w:unhideWhenUsed/>
    <w:rsid w:val="002C2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01A"/>
  </w:style>
  <w:style w:type="paragraph" w:customStyle="1" w:styleId="paragraph">
    <w:name w:val="paragraph"/>
    <w:basedOn w:val="Normal"/>
    <w:rsid w:val="00EF4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character" w:customStyle="1" w:styleId="normaltextrun">
    <w:name w:val="normaltextrun"/>
    <w:basedOn w:val="DefaultParagraphFont"/>
    <w:rsid w:val="00EF4371"/>
  </w:style>
  <w:style w:type="character" w:customStyle="1" w:styleId="eop">
    <w:name w:val="eop"/>
    <w:basedOn w:val="DefaultParagraphFont"/>
    <w:rsid w:val="00EF437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879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9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9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9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9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879B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9F0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9F0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0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Russell</dc:creator>
  <cp:keywords/>
  <dc:description/>
  <cp:lastModifiedBy>Holly Donovan</cp:lastModifiedBy>
  <cp:revision>4</cp:revision>
  <dcterms:created xsi:type="dcterms:W3CDTF">2025-03-04T19:18:00Z</dcterms:created>
  <dcterms:modified xsi:type="dcterms:W3CDTF">2025-03-20T22:24:00Z</dcterms:modified>
</cp:coreProperties>
</file>